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70467" w14:textId="77777777" w:rsidR="00AD1DDD" w:rsidRDefault="00AD1DDD" w:rsidP="00AD1DDD">
      <w:pPr>
        <w:pStyle w:val="Heading2"/>
        <w:rPr>
          <w:rFonts w:ascii="Calibri" w:hAnsi="Calibri" w:cs="Calibri"/>
          <w:sz w:val="28"/>
          <w:szCs w:val="28"/>
        </w:rPr>
      </w:pPr>
    </w:p>
    <w:p w14:paraId="3F98A3EF" w14:textId="5D5614AC" w:rsidR="00B813BD" w:rsidRPr="001A47A5" w:rsidRDefault="009C21E9" w:rsidP="00AD1DDD">
      <w:pPr>
        <w:pStyle w:val="Heading2"/>
        <w:rPr>
          <w:rFonts w:ascii="Calibri" w:hAnsi="Calibri" w:cs="Calibri"/>
          <w:sz w:val="28"/>
          <w:szCs w:val="28"/>
        </w:rPr>
      </w:pPr>
      <w:r w:rsidRPr="00AD1DDD">
        <w:rPr>
          <w:rFonts w:ascii="Calibri" w:hAnsi="Calibri" w:cs="Calibri"/>
          <w:sz w:val="28"/>
          <w:szCs w:val="28"/>
        </w:rPr>
        <w:t xml:space="preserve">Annual Complaints Performance and Service </w:t>
      </w:r>
      <w:r w:rsidRPr="001A47A5">
        <w:rPr>
          <w:rFonts w:ascii="Calibri" w:hAnsi="Calibri" w:cs="Calibri"/>
          <w:sz w:val="28"/>
          <w:szCs w:val="28"/>
        </w:rPr>
        <w:t xml:space="preserve">Improvement Report </w:t>
      </w:r>
      <w:r w:rsidR="001A47A5" w:rsidRPr="001A47A5">
        <w:rPr>
          <w:rFonts w:ascii="Calibri" w:hAnsi="Calibri" w:cs="Calibri"/>
          <w:sz w:val="28"/>
          <w:szCs w:val="28"/>
        </w:rPr>
        <w:t>1 January 2025 to 31 December 2025</w:t>
      </w:r>
    </w:p>
    <w:p w14:paraId="283EF961" w14:textId="5138E415" w:rsidR="009C21E9" w:rsidRPr="00AD1DDD" w:rsidRDefault="009C21E9" w:rsidP="009C21E9">
      <w:pPr>
        <w:rPr>
          <w:rFonts w:ascii="Calibri" w:hAnsi="Calibri" w:cs="Calibri"/>
        </w:rPr>
      </w:pPr>
      <w:r w:rsidRPr="00AD1DDD">
        <w:rPr>
          <w:rFonts w:ascii="Calibri" w:hAnsi="Calibri" w:cs="Calibri"/>
        </w:rPr>
        <w:t xml:space="preserve">This report provides information regarding complaints recorded during the reporting year (1 </w:t>
      </w:r>
      <w:r w:rsidR="007535A0" w:rsidRPr="00AD1DDD">
        <w:rPr>
          <w:rFonts w:ascii="Calibri" w:hAnsi="Calibri" w:cs="Calibri"/>
        </w:rPr>
        <w:t>January</w:t>
      </w:r>
      <w:r w:rsidRPr="00AD1DDD">
        <w:rPr>
          <w:rFonts w:ascii="Calibri" w:hAnsi="Calibri" w:cs="Calibri"/>
        </w:rPr>
        <w:t xml:space="preserve"> 202</w:t>
      </w:r>
      <w:r w:rsidR="00ED002B">
        <w:rPr>
          <w:rFonts w:ascii="Calibri" w:hAnsi="Calibri" w:cs="Calibri"/>
        </w:rPr>
        <w:t>5</w:t>
      </w:r>
      <w:r w:rsidRPr="00AD1DDD">
        <w:rPr>
          <w:rFonts w:ascii="Calibri" w:hAnsi="Calibri" w:cs="Calibri"/>
        </w:rPr>
        <w:t xml:space="preserve"> to </w:t>
      </w:r>
      <w:r w:rsidR="00ED002B">
        <w:rPr>
          <w:rFonts w:ascii="Calibri" w:hAnsi="Calibri" w:cs="Calibri"/>
        </w:rPr>
        <w:t>3</w:t>
      </w:r>
      <w:r w:rsidR="003515C0" w:rsidRPr="00AD1DDD">
        <w:rPr>
          <w:rFonts w:ascii="Calibri" w:hAnsi="Calibri" w:cs="Calibri"/>
        </w:rPr>
        <w:t>1</w:t>
      </w:r>
      <w:r w:rsidRPr="00AD1DDD">
        <w:rPr>
          <w:rFonts w:ascii="Calibri" w:hAnsi="Calibri" w:cs="Calibri"/>
        </w:rPr>
        <w:t xml:space="preserve"> </w:t>
      </w:r>
      <w:r w:rsidR="00ED002B">
        <w:rPr>
          <w:rFonts w:ascii="Calibri" w:hAnsi="Calibri" w:cs="Calibri"/>
        </w:rPr>
        <w:t>December</w:t>
      </w:r>
      <w:r w:rsidRPr="00AD1DDD">
        <w:rPr>
          <w:rFonts w:ascii="Calibri" w:hAnsi="Calibri" w:cs="Calibri"/>
        </w:rPr>
        <w:t xml:space="preserve"> 202</w:t>
      </w:r>
      <w:r w:rsidR="0066598F">
        <w:rPr>
          <w:rFonts w:ascii="Calibri" w:hAnsi="Calibri" w:cs="Calibri"/>
        </w:rPr>
        <w:t>5</w:t>
      </w:r>
      <w:r w:rsidRPr="00AD1DDD">
        <w:rPr>
          <w:rFonts w:ascii="Calibri" w:hAnsi="Calibri" w:cs="Calibri"/>
        </w:rPr>
        <w:t>). It has been produced to:</w:t>
      </w:r>
    </w:p>
    <w:p w14:paraId="6BF64A92" w14:textId="77777777" w:rsidR="009C21E9" w:rsidRPr="00AD1DDD" w:rsidRDefault="009C21E9" w:rsidP="009C21E9">
      <w:pPr>
        <w:pStyle w:val="ListParagraph"/>
        <w:numPr>
          <w:ilvl w:val="0"/>
          <w:numId w:val="1"/>
        </w:numPr>
        <w:rPr>
          <w:rFonts w:ascii="Calibri" w:hAnsi="Calibri" w:cs="Calibri"/>
        </w:rPr>
      </w:pPr>
      <w:r w:rsidRPr="00AD1DDD">
        <w:rPr>
          <w:rFonts w:ascii="Calibri" w:hAnsi="Calibri" w:cs="Calibri"/>
        </w:rPr>
        <w:t xml:space="preserve">Meet the Housing Ombudsman’s stipulation that landlords produce an annual complaints performance and service improvement report for scrutiny and challenge. </w:t>
      </w:r>
    </w:p>
    <w:p w14:paraId="0E3C2980" w14:textId="652E7DBD" w:rsidR="009C21E9" w:rsidRPr="00AD1DDD" w:rsidRDefault="009C21E9" w:rsidP="009C21E9">
      <w:pPr>
        <w:pStyle w:val="ListParagraph"/>
        <w:numPr>
          <w:ilvl w:val="0"/>
          <w:numId w:val="1"/>
        </w:numPr>
        <w:rPr>
          <w:rFonts w:ascii="Calibri" w:hAnsi="Calibri" w:cs="Calibri"/>
        </w:rPr>
      </w:pPr>
      <w:r w:rsidRPr="00AD1DDD">
        <w:rPr>
          <w:rFonts w:ascii="Calibri" w:hAnsi="Calibri" w:cs="Calibri"/>
        </w:rPr>
        <w:t>Ensure that the Trustees have oversight of the complaints received by the organisation and the service improvements that have taken place because of complaints.</w:t>
      </w:r>
    </w:p>
    <w:p w14:paraId="4E5557A1" w14:textId="7C98899C" w:rsidR="009C21E9" w:rsidRPr="00AD1DDD" w:rsidRDefault="009C21E9" w:rsidP="00AD1DDD">
      <w:pPr>
        <w:pStyle w:val="Heading2"/>
        <w:rPr>
          <w:rFonts w:ascii="Calibri" w:hAnsi="Calibri" w:cs="Calibri"/>
          <w:sz w:val="28"/>
          <w:szCs w:val="28"/>
        </w:rPr>
      </w:pPr>
      <w:r w:rsidRPr="00AD1DDD">
        <w:rPr>
          <w:rFonts w:ascii="Calibri" w:hAnsi="Calibri" w:cs="Calibri"/>
          <w:sz w:val="28"/>
          <w:szCs w:val="28"/>
        </w:rPr>
        <w:t>Introduction</w:t>
      </w:r>
    </w:p>
    <w:p w14:paraId="272D32EA" w14:textId="6C4DA46E" w:rsidR="009C21E9" w:rsidRPr="00AD1DDD" w:rsidRDefault="009C21E9" w:rsidP="009C21E9">
      <w:pPr>
        <w:rPr>
          <w:rFonts w:ascii="Calibri" w:hAnsi="Calibri" w:cs="Calibri"/>
        </w:rPr>
      </w:pPr>
      <w:r w:rsidRPr="00AD1DDD">
        <w:rPr>
          <w:rFonts w:ascii="Calibri" w:hAnsi="Calibri" w:cs="Calibri"/>
        </w:rPr>
        <w:t xml:space="preserve">Our Comments, Suggestions and Complaints Policy </w:t>
      </w:r>
      <w:proofErr w:type="gramStart"/>
      <w:r w:rsidRPr="00AD1DDD">
        <w:rPr>
          <w:rFonts w:ascii="Calibri" w:hAnsi="Calibri" w:cs="Calibri"/>
        </w:rPr>
        <w:t>has</w:t>
      </w:r>
      <w:proofErr w:type="gramEnd"/>
      <w:r w:rsidRPr="00AD1DDD">
        <w:rPr>
          <w:rFonts w:ascii="Calibri" w:hAnsi="Calibri" w:cs="Calibri"/>
        </w:rPr>
        <w:t xml:space="preserve"> been extensively revised to meet the requirements as set out in the Housing Ombudsman’s Complaint Handling Code. </w:t>
      </w:r>
    </w:p>
    <w:p w14:paraId="69BE9826" w14:textId="6756C776" w:rsidR="003515C0" w:rsidRPr="00AD1DDD" w:rsidRDefault="009C21E9" w:rsidP="009C21E9">
      <w:pPr>
        <w:rPr>
          <w:rFonts w:ascii="Calibri" w:hAnsi="Calibri" w:cs="Calibri"/>
        </w:rPr>
      </w:pPr>
      <w:r w:rsidRPr="00AD1DDD">
        <w:rPr>
          <w:rFonts w:ascii="Calibri" w:hAnsi="Calibri" w:cs="Calibri"/>
        </w:rPr>
        <w:t>The Regulatory framework also requires providers to give tenants information about the type of complaints received and how they have learnt from complaints to continuously improve services. Information about this can be found later in the report.</w:t>
      </w:r>
    </w:p>
    <w:p w14:paraId="5DA89EFD" w14:textId="58B1846E" w:rsidR="009C21E9" w:rsidRPr="00AD1DDD" w:rsidRDefault="009C21E9" w:rsidP="00B813BD">
      <w:pPr>
        <w:pStyle w:val="ListParagraph"/>
        <w:numPr>
          <w:ilvl w:val="0"/>
          <w:numId w:val="3"/>
        </w:numPr>
        <w:rPr>
          <w:rFonts w:ascii="Calibri" w:hAnsi="Calibri" w:cs="Calibri"/>
          <w:b/>
          <w:bCs/>
        </w:rPr>
      </w:pPr>
      <w:r w:rsidRPr="00AD1DDD">
        <w:rPr>
          <w:rFonts w:ascii="Calibri" w:hAnsi="Calibri" w:cs="Calibri"/>
          <w:b/>
          <w:bCs/>
        </w:rPr>
        <w:t>The Annual Self-Assessment:</w:t>
      </w:r>
    </w:p>
    <w:p w14:paraId="01ACDC74" w14:textId="272EB6B9" w:rsidR="009C21E9" w:rsidRPr="00AD1DDD" w:rsidRDefault="009C21E9" w:rsidP="009C21E9">
      <w:pPr>
        <w:rPr>
          <w:rFonts w:ascii="Calibri" w:hAnsi="Calibri" w:cs="Calibri"/>
        </w:rPr>
      </w:pPr>
      <w:r w:rsidRPr="00AD1DDD">
        <w:rPr>
          <w:rFonts w:ascii="Calibri" w:hAnsi="Calibri" w:cs="Calibri"/>
        </w:rPr>
        <w:t>In line with the requirements of the Housing Ombudsman, we have carried out a self-assessment to identify whether the organisation’s current approach to complaints handling meets all the requirement of the 2024 Complaint Handling Code.</w:t>
      </w:r>
    </w:p>
    <w:p w14:paraId="2FE77FE9" w14:textId="072EEB16" w:rsidR="00B813BD" w:rsidRDefault="00B813BD" w:rsidP="00B813BD">
      <w:r w:rsidRPr="00AD1DDD">
        <w:rPr>
          <w:rFonts w:ascii="Calibri" w:hAnsi="Calibri" w:cs="Calibri"/>
        </w:rPr>
        <w:t>This will be submitted to the Housing Ombudsman appropriately</w:t>
      </w:r>
      <w:r>
        <w:t xml:space="preserve">. </w:t>
      </w:r>
    </w:p>
    <w:p w14:paraId="5E71E100" w14:textId="663A71BE" w:rsidR="003515C0" w:rsidRPr="00AD1DDD" w:rsidRDefault="00B813BD" w:rsidP="00AD1DDD">
      <w:pPr>
        <w:pStyle w:val="ListParagraph"/>
        <w:numPr>
          <w:ilvl w:val="0"/>
          <w:numId w:val="3"/>
        </w:numPr>
        <w:rPr>
          <w:rFonts w:ascii="Calibri" w:hAnsi="Calibri" w:cs="Calibri"/>
          <w:b/>
          <w:bCs/>
        </w:rPr>
      </w:pPr>
      <w:r w:rsidRPr="00AD1DDD">
        <w:rPr>
          <w:rFonts w:ascii="Calibri" w:hAnsi="Calibri" w:cs="Calibri"/>
          <w:b/>
          <w:bCs/>
        </w:rPr>
        <w:t>Analysis of Complaint Handling Performance.</w:t>
      </w:r>
    </w:p>
    <w:p w14:paraId="19D15245" w14:textId="2BFB5CB7" w:rsidR="00AD1DDD" w:rsidRPr="00ED002B" w:rsidRDefault="00B813BD" w:rsidP="00ED002B">
      <w:pPr>
        <w:rPr>
          <w:rFonts w:ascii="Calibri" w:hAnsi="Calibri" w:cs="Calibri"/>
        </w:rPr>
      </w:pPr>
      <w:r w:rsidRPr="00AD1DDD">
        <w:rPr>
          <w:rFonts w:ascii="Calibri" w:hAnsi="Calibri" w:cs="Calibri"/>
        </w:rPr>
        <w:t xml:space="preserve">During the Period relevant to the report the </w:t>
      </w:r>
      <w:r w:rsidR="003515C0" w:rsidRPr="00AD1DDD">
        <w:rPr>
          <w:rFonts w:ascii="Calibri" w:hAnsi="Calibri" w:cs="Calibri"/>
        </w:rPr>
        <w:t>provider</w:t>
      </w:r>
      <w:r w:rsidRPr="00AD1DDD">
        <w:rPr>
          <w:rFonts w:ascii="Calibri" w:hAnsi="Calibri" w:cs="Calibri"/>
        </w:rPr>
        <w:t xml:space="preserve"> received </w:t>
      </w:r>
      <w:r w:rsidR="00ED002B">
        <w:rPr>
          <w:rFonts w:ascii="Calibri" w:hAnsi="Calibri" w:cs="Calibri"/>
        </w:rPr>
        <w:t>no</w:t>
      </w:r>
      <w:r w:rsidRPr="00AD1DDD">
        <w:rPr>
          <w:rFonts w:ascii="Calibri" w:hAnsi="Calibri" w:cs="Calibri"/>
        </w:rPr>
        <w:t xml:space="preserve"> complaint. </w:t>
      </w:r>
    </w:p>
    <w:p w14:paraId="2C5EFF01" w14:textId="6DFE964D" w:rsidR="00FF4247" w:rsidRPr="00AD1DDD" w:rsidRDefault="00FF4247" w:rsidP="00B813BD">
      <w:pPr>
        <w:rPr>
          <w:rFonts w:ascii="Calibri" w:hAnsi="Calibri" w:cs="Calibri"/>
          <w:b/>
          <w:bCs/>
        </w:rPr>
      </w:pPr>
      <w:r w:rsidRPr="00AD1DDD">
        <w:rPr>
          <w:rFonts w:ascii="Calibri" w:hAnsi="Calibri" w:cs="Calibri"/>
          <w:b/>
          <w:bCs/>
        </w:rPr>
        <w:t>Complaint handling stages:</w:t>
      </w:r>
    </w:p>
    <w:tbl>
      <w:tblPr>
        <w:tblStyle w:val="TableGrid"/>
        <w:tblW w:w="0" w:type="auto"/>
        <w:tblLook w:val="04A0" w:firstRow="1" w:lastRow="0" w:firstColumn="1" w:lastColumn="0" w:noHBand="0" w:noVBand="1"/>
      </w:tblPr>
      <w:tblGrid>
        <w:gridCol w:w="2994"/>
        <w:gridCol w:w="3011"/>
        <w:gridCol w:w="3011"/>
      </w:tblGrid>
      <w:tr w:rsidR="00FF4247" w:rsidRPr="007F3485" w14:paraId="30E464B2" w14:textId="77777777" w:rsidTr="008C1250">
        <w:tc>
          <w:tcPr>
            <w:tcW w:w="3080" w:type="dxa"/>
          </w:tcPr>
          <w:p w14:paraId="09268138" w14:textId="77777777" w:rsidR="00FF4247" w:rsidRPr="008F68E4" w:rsidRDefault="00FF4247" w:rsidP="008C1250">
            <w:pPr>
              <w:jc w:val="center"/>
              <w:rPr>
                <w:rFonts w:ascii="Calibri" w:hAnsi="Calibri" w:cs="Calibri"/>
                <w:color w:val="000000" w:themeColor="text1"/>
              </w:rPr>
            </w:pPr>
            <w:r w:rsidRPr="008F68E4">
              <w:rPr>
                <w:rFonts w:ascii="Calibri" w:hAnsi="Calibri" w:cs="Calibri"/>
                <w:color w:val="000000" w:themeColor="text1"/>
              </w:rPr>
              <w:t>Period</w:t>
            </w:r>
          </w:p>
        </w:tc>
        <w:tc>
          <w:tcPr>
            <w:tcW w:w="3081" w:type="dxa"/>
          </w:tcPr>
          <w:p w14:paraId="2537F6EB" w14:textId="77777777" w:rsidR="00FF4247" w:rsidRPr="008F68E4" w:rsidRDefault="00FF4247" w:rsidP="008C1250">
            <w:pPr>
              <w:jc w:val="center"/>
              <w:rPr>
                <w:rFonts w:ascii="Calibri" w:hAnsi="Calibri" w:cs="Calibri"/>
                <w:color w:val="000000" w:themeColor="text1"/>
              </w:rPr>
            </w:pPr>
            <w:r w:rsidRPr="008F68E4">
              <w:rPr>
                <w:rFonts w:ascii="Calibri" w:hAnsi="Calibri" w:cs="Calibri"/>
                <w:color w:val="000000" w:themeColor="text1"/>
              </w:rPr>
              <w:t>Stage 1 complaints</w:t>
            </w:r>
          </w:p>
        </w:tc>
        <w:tc>
          <w:tcPr>
            <w:tcW w:w="3081" w:type="dxa"/>
          </w:tcPr>
          <w:p w14:paraId="6F086A56" w14:textId="77777777" w:rsidR="00FF4247" w:rsidRPr="008F68E4" w:rsidRDefault="00FF4247" w:rsidP="008C1250">
            <w:pPr>
              <w:jc w:val="center"/>
              <w:rPr>
                <w:rFonts w:ascii="Calibri" w:hAnsi="Calibri" w:cs="Calibri"/>
                <w:color w:val="000000" w:themeColor="text1"/>
              </w:rPr>
            </w:pPr>
            <w:r w:rsidRPr="008F68E4">
              <w:rPr>
                <w:rFonts w:ascii="Calibri" w:hAnsi="Calibri" w:cs="Calibri"/>
                <w:color w:val="000000" w:themeColor="text1"/>
              </w:rPr>
              <w:t>Stage 2 complaints</w:t>
            </w:r>
          </w:p>
        </w:tc>
      </w:tr>
      <w:tr w:rsidR="00FF4247" w:rsidRPr="007F3485" w14:paraId="47DFE55B" w14:textId="77777777" w:rsidTr="008C1250">
        <w:tc>
          <w:tcPr>
            <w:tcW w:w="3080" w:type="dxa"/>
          </w:tcPr>
          <w:p w14:paraId="44F7D974" w14:textId="6098D502" w:rsidR="00FF4247" w:rsidRPr="008F68E4" w:rsidRDefault="00FF4247" w:rsidP="008C1250">
            <w:pPr>
              <w:jc w:val="center"/>
              <w:rPr>
                <w:rFonts w:ascii="Calibri" w:hAnsi="Calibri" w:cs="Calibri"/>
                <w:color w:val="000000" w:themeColor="text1"/>
              </w:rPr>
            </w:pPr>
            <w:r w:rsidRPr="008F68E4">
              <w:rPr>
                <w:rFonts w:ascii="Calibri" w:hAnsi="Calibri" w:cs="Calibri"/>
                <w:color w:val="000000" w:themeColor="text1"/>
              </w:rPr>
              <w:t>01/01 202</w:t>
            </w:r>
            <w:r w:rsidR="00ED002B">
              <w:rPr>
                <w:rFonts w:ascii="Calibri" w:hAnsi="Calibri" w:cs="Calibri"/>
                <w:color w:val="000000" w:themeColor="text1"/>
              </w:rPr>
              <w:t>5</w:t>
            </w:r>
            <w:r w:rsidRPr="008F68E4">
              <w:rPr>
                <w:rFonts w:ascii="Calibri" w:hAnsi="Calibri" w:cs="Calibri"/>
                <w:color w:val="000000" w:themeColor="text1"/>
              </w:rPr>
              <w:t xml:space="preserve">- </w:t>
            </w:r>
            <w:r w:rsidR="00ED002B">
              <w:rPr>
                <w:rFonts w:ascii="Calibri" w:hAnsi="Calibri" w:cs="Calibri"/>
                <w:color w:val="000000" w:themeColor="text1"/>
              </w:rPr>
              <w:t>31/12 2025</w:t>
            </w:r>
          </w:p>
        </w:tc>
        <w:tc>
          <w:tcPr>
            <w:tcW w:w="3081" w:type="dxa"/>
          </w:tcPr>
          <w:p w14:paraId="735E1A58" w14:textId="167F1098" w:rsidR="00FF4247" w:rsidRPr="008F68E4" w:rsidRDefault="00ED002B" w:rsidP="008C1250">
            <w:pPr>
              <w:jc w:val="center"/>
              <w:rPr>
                <w:rFonts w:ascii="Calibri" w:hAnsi="Calibri" w:cs="Calibri"/>
                <w:color w:val="000000" w:themeColor="text1"/>
              </w:rPr>
            </w:pPr>
            <w:r>
              <w:rPr>
                <w:rFonts w:ascii="Calibri" w:hAnsi="Calibri" w:cs="Calibri"/>
                <w:color w:val="000000" w:themeColor="text1"/>
              </w:rPr>
              <w:t>0</w:t>
            </w:r>
          </w:p>
        </w:tc>
        <w:tc>
          <w:tcPr>
            <w:tcW w:w="3081" w:type="dxa"/>
          </w:tcPr>
          <w:p w14:paraId="7C258EB0" w14:textId="77777777" w:rsidR="00FF4247" w:rsidRPr="008F68E4" w:rsidRDefault="00FF4247" w:rsidP="008C1250">
            <w:pPr>
              <w:jc w:val="center"/>
              <w:rPr>
                <w:rFonts w:ascii="Calibri" w:hAnsi="Calibri" w:cs="Calibri"/>
                <w:color w:val="000000" w:themeColor="text1"/>
              </w:rPr>
            </w:pPr>
            <w:r w:rsidRPr="008F68E4">
              <w:rPr>
                <w:rFonts w:ascii="Calibri" w:hAnsi="Calibri" w:cs="Calibri"/>
                <w:color w:val="000000" w:themeColor="text1"/>
              </w:rPr>
              <w:t>0</w:t>
            </w:r>
          </w:p>
        </w:tc>
      </w:tr>
    </w:tbl>
    <w:p w14:paraId="29B8CE57" w14:textId="77777777" w:rsidR="00FF4247" w:rsidRDefault="00FF4247" w:rsidP="00B813BD">
      <w:pPr>
        <w:rPr>
          <w:b/>
          <w:bCs/>
        </w:rPr>
      </w:pPr>
    </w:p>
    <w:p w14:paraId="48B6415A" w14:textId="43C2F834" w:rsidR="00250091" w:rsidRPr="00250091" w:rsidRDefault="00DE0AD8" w:rsidP="00B813BD">
      <w:pPr>
        <w:rPr>
          <w:b/>
          <w:bCs/>
        </w:rPr>
      </w:pPr>
      <w:r w:rsidRPr="00250091">
        <w:rPr>
          <w:b/>
          <w:bCs/>
        </w:rPr>
        <w:t>Area</w:t>
      </w:r>
      <w:r w:rsidR="00250091" w:rsidRPr="00250091">
        <w:rPr>
          <w:b/>
          <w:bCs/>
        </w:rPr>
        <w:t>s</w:t>
      </w:r>
      <w:r w:rsidRPr="00250091">
        <w:rPr>
          <w:b/>
          <w:bCs/>
        </w:rPr>
        <w:t xml:space="preserve"> of </w:t>
      </w:r>
      <w:r w:rsidR="00110D34">
        <w:rPr>
          <w:b/>
          <w:bCs/>
        </w:rPr>
        <w:t>complaint</w:t>
      </w:r>
      <w:r w:rsidR="00250091" w:rsidRPr="00250091">
        <w:rPr>
          <w:b/>
          <w:bCs/>
        </w:rPr>
        <w:t xml:space="preserve"> (A single complaint can have more than 1 area of dissatisfaction)</w:t>
      </w:r>
    </w:p>
    <w:tbl>
      <w:tblPr>
        <w:tblStyle w:val="TableGrid"/>
        <w:tblW w:w="0" w:type="auto"/>
        <w:tblLook w:val="04A0" w:firstRow="1" w:lastRow="0" w:firstColumn="1" w:lastColumn="0" w:noHBand="0" w:noVBand="1"/>
      </w:tblPr>
      <w:tblGrid>
        <w:gridCol w:w="6799"/>
        <w:gridCol w:w="2217"/>
      </w:tblGrid>
      <w:tr w:rsidR="00250091" w14:paraId="31E72191" w14:textId="77777777" w:rsidTr="00250091">
        <w:tc>
          <w:tcPr>
            <w:tcW w:w="6799" w:type="dxa"/>
          </w:tcPr>
          <w:p w14:paraId="440052CB" w14:textId="4C1EDAB8" w:rsidR="00250091" w:rsidRPr="008F68E4" w:rsidRDefault="007535A0" w:rsidP="00B813BD">
            <w:pPr>
              <w:rPr>
                <w:rFonts w:ascii="Calibri" w:hAnsi="Calibri" w:cs="Calibri"/>
                <w:highlight w:val="yellow"/>
              </w:rPr>
            </w:pPr>
            <w:r w:rsidRPr="008F68E4">
              <w:rPr>
                <w:rFonts w:ascii="Calibri" w:hAnsi="Calibri" w:cs="Calibri"/>
              </w:rPr>
              <w:t xml:space="preserve">Invoicing </w:t>
            </w:r>
          </w:p>
        </w:tc>
        <w:tc>
          <w:tcPr>
            <w:tcW w:w="2217" w:type="dxa"/>
          </w:tcPr>
          <w:p w14:paraId="5B74FBA7" w14:textId="5E776542" w:rsidR="00250091" w:rsidRPr="008F68E4" w:rsidRDefault="0066598F" w:rsidP="00B813BD">
            <w:pPr>
              <w:rPr>
                <w:rFonts w:ascii="Calibri" w:hAnsi="Calibri" w:cs="Calibri"/>
              </w:rPr>
            </w:pPr>
            <w:r>
              <w:rPr>
                <w:rFonts w:ascii="Calibri" w:hAnsi="Calibri" w:cs="Calibri"/>
              </w:rPr>
              <w:t>0</w:t>
            </w:r>
          </w:p>
        </w:tc>
      </w:tr>
      <w:tr w:rsidR="00250091" w14:paraId="4ECB9A01" w14:textId="77777777" w:rsidTr="00250091">
        <w:tc>
          <w:tcPr>
            <w:tcW w:w="6799" w:type="dxa"/>
          </w:tcPr>
          <w:p w14:paraId="0AFF80BC" w14:textId="5943434D" w:rsidR="00250091" w:rsidRPr="008F68E4" w:rsidRDefault="007535A0" w:rsidP="00B813BD">
            <w:pPr>
              <w:rPr>
                <w:rFonts w:ascii="Calibri" w:hAnsi="Calibri" w:cs="Calibri"/>
              </w:rPr>
            </w:pPr>
            <w:r w:rsidRPr="008F68E4">
              <w:rPr>
                <w:rFonts w:ascii="Calibri" w:hAnsi="Calibri" w:cs="Calibri"/>
              </w:rPr>
              <w:t>GDPR – Confidentiality</w:t>
            </w:r>
          </w:p>
        </w:tc>
        <w:tc>
          <w:tcPr>
            <w:tcW w:w="2217" w:type="dxa"/>
          </w:tcPr>
          <w:p w14:paraId="06FA6399" w14:textId="02F0C9E1" w:rsidR="00250091" w:rsidRPr="008F68E4" w:rsidRDefault="0066598F" w:rsidP="00B813BD">
            <w:pPr>
              <w:rPr>
                <w:rFonts w:ascii="Calibri" w:hAnsi="Calibri" w:cs="Calibri"/>
              </w:rPr>
            </w:pPr>
            <w:r>
              <w:rPr>
                <w:rFonts w:ascii="Calibri" w:hAnsi="Calibri" w:cs="Calibri"/>
              </w:rPr>
              <w:t>0</w:t>
            </w:r>
          </w:p>
        </w:tc>
      </w:tr>
      <w:tr w:rsidR="00250091" w14:paraId="4D10113D" w14:textId="77777777" w:rsidTr="00250091">
        <w:tc>
          <w:tcPr>
            <w:tcW w:w="6799" w:type="dxa"/>
          </w:tcPr>
          <w:p w14:paraId="73E005C1" w14:textId="1EAF7B0E" w:rsidR="00250091" w:rsidRPr="008F68E4" w:rsidRDefault="007535A0" w:rsidP="00B813BD">
            <w:pPr>
              <w:rPr>
                <w:rFonts w:ascii="Calibri" w:hAnsi="Calibri" w:cs="Calibri"/>
                <w:highlight w:val="yellow"/>
              </w:rPr>
            </w:pPr>
            <w:r w:rsidRPr="008F68E4">
              <w:rPr>
                <w:rFonts w:ascii="Calibri" w:hAnsi="Calibri" w:cs="Calibri"/>
              </w:rPr>
              <w:t>Staff conduct</w:t>
            </w:r>
            <w:r w:rsidR="00110D34" w:rsidRPr="008F68E4">
              <w:rPr>
                <w:rFonts w:ascii="Calibri" w:hAnsi="Calibri" w:cs="Calibri"/>
              </w:rPr>
              <w:t xml:space="preserve"> </w:t>
            </w:r>
          </w:p>
        </w:tc>
        <w:tc>
          <w:tcPr>
            <w:tcW w:w="2217" w:type="dxa"/>
          </w:tcPr>
          <w:p w14:paraId="7449C4CE" w14:textId="6B494881" w:rsidR="00250091" w:rsidRPr="008F68E4" w:rsidRDefault="0066598F" w:rsidP="00B813BD">
            <w:pPr>
              <w:rPr>
                <w:rFonts w:ascii="Calibri" w:hAnsi="Calibri" w:cs="Calibri"/>
              </w:rPr>
            </w:pPr>
            <w:r>
              <w:rPr>
                <w:rFonts w:ascii="Calibri" w:hAnsi="Calibri" w:cs="Calibri"/>
              </w:rPr>
              <w:t>0</w:t>
            </w:r>
          </w:p>
        </w:tc>
      </w:tr>
      <w:tr w:rsidR="00110D34" w14:paraId="1BCCDC70" w14:textId="77777777" w:rsidTr="00250091">
        <w:tc>
          <w:tcPr>
            <w:tcW w:w="6799" w:type="dxa"/>
          </w:tcPr>
          <w:p w14:paraId="5B014EB9" w14:textId="2898F9E8" w:rsidR="00110D34" w:rsidRPr="008F68E4" w:rsidRDefault="00110D34" w:rsidP="00B813BD">
            <w:pPr>
              <w:rPr>
                <w:rFonts w:ascii="Calibri" w:hAnsi="Calibri" w:cs="Calibri"/>
              </w:rPr>
            </w:pPr>
            <w:r w:rsidRPr="008F68E4">
              <w:rPr>
                <w:rFonts w:ascii="Calibri" w:hAnsi="Calibri" w:cs="Calibri"/>
              </w:rPr>
              <w:t>General lack of duty of care</w:t>
            </w:r>
          </w:p>
        </w:tc>
        <w:tc>
          <w:tcPr>
            <w:tcW w:w="2217" w:type="dxa"/>
          </w:tcPr>
          <w:p w14:paraId="5C35ECDE" w14:textId="4D6EF157" w:rsidR="00110D34" w:rsidRPr="008F68E4" w:rsidRDefault="0066598F" w:rsidP="00B813BD">
            <w:pPr>
              <w:rPr>
                <w:rFonts w:ascii="Calibri" w:hAnsi="Calibri" w:cs="Calibri"/>
              </w:rPr>
            </w:pPr>
            <w:r>
              <w:rPr>
                <w:rFonts w:ascii="Calibri" w:hAnsi="Calibri" w:cs="Calibri"/>
              </w:rPr>
              <w:t>0</w:t>
            </w:r>
          </w:p>
        </w:tc>
      </w:tr>
      <w:tr w:rsidR="0066598F" w14:paraId="4C2231E2" w14:textId="77777777" w:rsidTr="00250091">
        <w:tc>
          <w:tcPr>
            <w:tcW w:w="6799" w:type="dxa"/>
          </w:tcPr>
          <w:p w14:paraId="14F58787" w14:textId="20BBC73C" w:rsidR="0066598F" w:rsidRPr="008F68E4" w:rsidRDefault="0066598F" w:rsidP="00B813BD">
            <w:pPr>
              <w:rPr>
                <w:rFonts w:ascii="Calibri" w:hAnsi="Calibri" w:cs="Calibri"/>
              </w:rPr>
            </w:pPr>
            <w:r>
              <w:rPr>
                <w:rFonts w:ascii="Calibri" w:hAnsi="Calibri" w:cs="Calibri"/>
              </w:rPr>
              <w:lastRenderedPageBreak/>
              <w:t>Alleged anti-social behaviour</w:t>
            </w:r>
          </w:p>
        </w:tc>
        <w:tc>
          <w:tcPr>
            <w:tcW w:w="2217" w:type="dxa"/>
          </w:tcPr>
          <w:p w14:paraId="2A5CFB52" w14:textId="7C85638F" w:rsidR="0066598F" w:rsidRDefault="00ED002B" w:rsidP="00B813BD">
            <w:pPr>
              <w:rPr>
                <w:rFonts w:ascii="Calibri" w:hAnsi="Calibri" w:cs="Calibri"/>
              </w:rPr>
            </w:pPr>
            <w:r>
              <w:rPr>
                <w:rFonts w:ascii="Calibri" w:hAnsi="Calibri" w:cs="Calibri"/>
              </w:rPr>
              <w:t>0</w:t>
            </w:r>
          </w:p>
        </w:tc>
      </w:tr>
    </w:tbl>
    <w:p w14:paraId="6DDA3B4C" w14:textId="77777777" w:rsidR="003515C0" w:rsidRDefault="003515C0" w:rsidP="00DE0AD8"/>
    <w:p w14:paraId="1944CA47" w14:textId="6520A894" w:rsidR="00ED002B" w:rsidRDefault="00250091" w:rsidP="00ED002B">
      <w:pPr>
        <w:rPr>
          <w:rFonts w:ascii="Calibri" w:hAnsi="Calibri" w:cs="Calibri"/>
        </w:rPr>
      </w:pPr>
      <w:r w:rsidRPr="00AD1DDD">
        <w:rPr>
          <w:rFonts w:ascii="Calibri" w:hAnsi="Calibri" w:cs="Calibri"/>
        </w:rPr>
        <w:t>The organisation has not refused to accept any complaints.</w:t>
      </w:r>
    </w:p>
    <w:p w14:paraId="6E5AF62F" w14:textId="785FEC97" w:rsidR="00110D34" w:rsidRPr="00AD1DDD" w:rsidRDefault="00ED002B" w:rsidP="00DE0AD8">
      <w:pPr>
        <w:rPr>
          <w:rFonts w:ascii="Calibri" w:hAnsi="Calibri" w:cs="Calibri"/>
        </w:rPr>
      </w:pPr>
      <w:r>
        <w:rPr>
          <w:rFonts w:ascii="Calibri" w:hAnsi="Calibri" w:cs="Calibri"/>
        </w:rPr>
        <w:t xml:space="preserve">No </w:t>
      </w:r>
      <w:r w:rsidR="00FF4247" w:rsidRPr="00AD1DDD">
        <w:rPr>
          <w:rFonts w:ascii="Calibri" w:hAnsi="Calibri" w:cs="Calibri"/>
        </w:rPr>
        <w:t xml:space="preserve">complaints were referred to or investigated by the Housing Ombudsman Service </w:t>
      </w:r>
      <w:r w:rsidR="001A47A5">
        <w:rPr>
          <w:rFonts w:ascii="Calibri" w:hAnsi="Calibri" w:cs="Calibri"/>
        </w:rPr>
        <w:t>in the period applicable to the report</w:t>
      </w:r>
      <w:r w:rsidR="00FF4247" w:rsidRPr="00AD1DDD">
        <w:rPr>
          <w:rFonts w:ascii="Calibri" w:hAnsi="Calibri" w:cs="Calibri"/>
        </w:rPr>
        <w:t>.</w:t>
      </w:r>
    </w:p>
    <w:p w14:paraId="2A1504E4" w14:textId="346B3C0B" w:rsidR="00110D34" w:rsidRPr="008F68E4" w:rsidRDefault="00250091" w:rsidP="00FF4247">
      <w:pPr>
        <w:pStyle w:val="ListParagraph"/>
        <w:numPr>
          <w:ilvl w:val="0"/>
          <w:numId w:val="3"/>
        </w:numPr>
        <w:rPr>
          <w:rFonts w:ascii="Calibri" w:hAnsi="Calibri" w:cs="Calibri"/>
          <w:b/>
          <w:bCs/>
        </w:rPr>
      </w:pPr>
      <w:r w:rsidRPr="008F68E4">
        <w:rPr>
          <w:rFonts w:ascii="Calibri" w:hAnsi="Calibri" w:cs="Calibri"/>
          <w:b/>
          <w:bCs/>
        </w:rPr>
        <w:t xml:space="preserve">Service Improvements Made as a Result of the Learning from Complaints </w:t>
      </w:r>
    </w:p>
    <w:p w14:paraId="7DBF6F16" w14:textId="610379B8" w:rsidR="00110D34" w:rsidRPr="00AD1DDD" w:rsidRDefault="00110D34" w:rsidP="00FF4247">
      <w:pPr>
        <w:rPr>
          <w:rFonts w:ascii="Calibri" w:hAnsi="Calibri" w:cs="Calibri"/>
        </w:rPr>
      </w:pPr>
      <w:r w:rsidRPr="00AD1DDD">
        <w:rPr>
          <w:rFonts w:ascii="Calibri" w:hAnsi="Calibri" w:cs="Calibri"/>
        </w:rPr>
        <w:t>As a small provider, it is expected that complaint numbers will be low and therefore there will be limited opportunity for learning from complaints.</w:t>
      </w:r>
    </w:p>
    <w:p w14:paraId="01F9D87D" w14:textId="7BE89250" w:rsidR="00250091" w:rsidRPr="00AD1DDD" w:rsidRDefault="00250091" w:rsidP="00FF4247">
      <w:pPr>
        <w:rPr>
          <w:rFonts w:ascii="Calibri" w:hAnsi="Calibri" w:cs="Calibri"/>
        </w:rPr>
      </w:pPr>
      <w:r w:rsidRPr="00AD1DDD">
        <w:rPr>
          <w:rFonts w:ascii="Calibri" w:hAnsi="Calibri" w:cs="Calibri"/>
        </w:rPr>
        <w:t xml:space="preserve">Key improvements made, or actions taken with the period, </w:t>
      </w:r>
      <w:proofErr w:type="gramStart"/>
      <w:r w:rsidRPr="00AD1DDD">
        <w:rPr>
          <w:rFonts w:ascii="Calibri" w:hAnsi="Calibri" w:cs="Calibri"/>
        </w:rPr>
        <w:t>as a result of</w:t>
      </w:r>
      <w:proofErr w:type="gramEnd"/>
      <w:r w:rsidRPr="00AD1DDD">
        <w:rPr>
          <w:rFonts w:ascii="Calibri" w:hAnsi="Calibri" w:cs="Calibri"/>
        </w:rPr>
        <w:t xml:space="preserve"> complaints are: </w:t>
      </w:r>
    </w:p>
    <w:p w14:paraId="177E0F33" w14:textId="4F4579F6" w:rsidR="0066598F" w:rsidRDefault="00250091" w:rsidP="00ED002B">
      <w:pPr>
        <w:pStyle w:val="ListParagraph"/>
        <w:rPr>
          <w:rFonts w:ascii="Calibri" w:hAnsi="Calibri" w:cs="Calibri"/>
        </w:rPr>
      </w:pPr>
      <w:r w:rsidRPr="00AD1DDD">
        <w:rPr>
          <w:rFonts w:ascii="Calibri" w:hAnsi="Calibri" w:cs="Calibri"/>
        </w:rPr>
        <w:t>•</w:t>
      </w:r>
      <w:r w:rsidR="00FF4247" w:rsidRPr="00AD1DDD">
        <w:rPr>
          <w:rFonts w:ascii="Calibri" w:hAnsi="Calibri" w:cs="Calibri"/>
        </w:rPr>
        <w:t xml:space="preserve"> </w:t>
      </w:r>
      <w:r w:rsidR="0066598F">
        <w:rPr>
          <w:rFonts w:ascii="Calibri" w:hAnsi="Calibri" w:cs="Calibri"/>
        </w:rPr>
        <w:t xml:space="preserve">No new action on the result </w:t>
      </w:r>
      <w:r w:rsidR="00ED002B">
        <w:rPr>
          <w:rFonts w:ascii="Calibri" w:hAnsi="Calibri" w:cs="Calibri"/>
        </w:rPr>
        <w:t>a</w:t>
      </w:r>
      <w:r w:rsidR="0066598F">
        <w:rPr>
          <w:rFonts w:ascii="Calibri" w:hAnsi="Calibri" w:cs="Calibri"/>
        </w:rPr>
        <w:t xml:space="preserve"> complaint. </w:t>
      </w:r>
    </w:p>
    <w:p w14:paraId="189F8974" w14:textId="3F535494" w:rsidR="00AD1DDD" w:rsidRPr="00ED002B" w:rsidRDefault="0066598F" w:rsidP="00ED002B">
      <w:pPr>
        <w:rPr>
          <w:rFonts w:ascii="Calibri" w:hAnsi="Calibri" w:cs="Calibri"/>
        </w:rPr>
      </w:pPr>
      <w:r>
        <w:rPr>
          <w:rFonts w:ascii="Calibri" w:hAnsi="Calibri" w:cs="Calibri"/>
        </w:rPr>
        <w:t xml:space="preserve">Staff continues to receive frequent training and Complaints policy is updated at least once yearly or when there are changes. </w:t>
      </w:r>
    </w:p>
    <w:p w14:paraId="4EA8361C" w14:textId="77777777" w:rsidR="007535A0" w:rsidRPr="008F68E4" w:rsidRDefault="007535A0" w:rsidP="003515C0">
      <w:pPr>
        <w:pStyle w:val="ListParagraph"/>
        <w:numPr>
          <w:ilvl w:val="0"/>
          <w:numId w:val="3"/>
        </w:numPr>
        <w:rPr>
          <w:rFonts w:ascii="Calibri" w:hAnsi="Calibri" w:cs="Calibri"/>
          <w:b/>
          <w:bCs/>
        </w:rPr>
      </w:pPr>
      <w:r w:rsidRPr="008F68E4">
        <w:rPr>
          <w:rFonts w:ascii="Calibri" w:hAnsi="Calibri" w:cs="Calibri"/>
          <w:b/>
          <w:bCs/>
        </w:rPr>
        <w:t>Any Findings of Non -Compliance with this Code by the Ombudsman To date</w:t>
      </w:r>
    </w:p>
    <w:p w14:paraId="2918F1C0" w14:textId="3688FB81" w:rsidR="00D74C83" w:rsidRPr="008F68E4" w:rsidRDefault="007535A0" w:rsidP="008F68E4">
      <w:pPr>
        <w:rPr>
          <w:rFonts w:ascii="Calibri" w:hAnsi="Calibri" w:cs="Calibri"/>
        </w:rPr>
      </w:pPr>
      <w:r w:rsidRPr="008F68E4">
        <w:rPr>
          <w:rFonts w:ascii="Calibri" w:hAnsi="Calibri" w:cs="Calibri"/>
        </w:rPr>
        <w:t>The organisation has not been found non-compliant with the code by the Ombudsman.</w:t>
      </w:r>
    </w:p>
    <w:p w14:paraId="50C3699F" w14:textId="73B7DF69" w:rsidR="00D93F00" w:rsidRPr="008F68E4" w:rsidRDefault="00D93F00" w:rsidP="00D93F00">
      <w:pPr>
        <w:pStyle w:val="ListParagraph"/>
        <w:numPr>
          <w:ilvl w:val="0"/>
          <w:numId w:val="3"/>
        </w:numPr>
        <w:rPr>
          <w:rFonts w:ascii="Calibri" w:hAnsi="Calibri" w:cs="Calibri"/>
          <w:b/>
          <w:bCs/>
        </w:rPr>
      </w:pPr>
      <w:r w:rsidRPr="008F68E4">
        <w:rPr>
          <w:rFonts w:ascii="Calibri" w:hAnsi="Calibri" w:cs="Calibri"/>
          <w:b/>
          <w:bCs/>
        </w:rPr>
        <w:t xml:space="preserve">Annual report, other reports or publications about the landlord’s performance from the Ombudsman </w:t>
      </w:r>
    </w:p>
    <w:p w14:paraId="20CF3787" w14:textId="6C47C804" w:rsidR="00D74C83" w:rsidRDefault="00D93F00" w:rsidP="00733BBC">
      <w:pPr>
        <w:tabs>
          <w:tab w:val="right" w:pos="9026"/>
        </w:tabs>
        <w:ind w:left="360"/>
        <w:rPr>
          <w:rFonts w:ascii="Calibri" w:hAnsi="Calibri" w:cs="Calibri"/>
        </w:rPr>
      </w:pPr>
      <w:r w:rsidRPr="008F68E4">
        <w:rPr>
          <w:rFonts w:ascii="Calibri" w:hAnsi="Calibri" w:cs="Calibri"/>
        </w:rPr>
        <w:t xml:space="preserve">There are no reports available regarding </w:t>
      </w:r>
      <w:r w:rsidR="006D5259">
        <w:rPr>
          <w:rFonts w:ascii="Calibri" w:hAnsi="Calibri" w:cs="Calibri"/>
        </w:rPr>
        <w:t>Norwich Consolidated Charities</w:t>
      </w:r>
      <w:r w:rsidRPr="008F68E4">
        <w:rPr>
          <w:rFonts w:ascii="Calibri" w:hAnsi="Calibri" w:cs="Calibri"/>
        </w:rPr>
        <w:t xml:space="preserve"> performance.</w:t>
      </w:r>
    </w:p>
    <w:p w14:paraId="526CBAE1" w14:textId="680F460F" w:rsidR="00733BBC" w:rsidRPr="00B346FE" w:rsidRDefault="00733BBC" w:rsidP="00733BBC">
      <w:pPr>
        <w:pStyle w:val="ListParagraph"/>
        <w:numPr>
          <w:ilvl w:val="0"/>
          <w:numId w:val="3"/>
        </w:numPr>
        <w:rPr>
          <w:rFonts w:ascii="Calibri" w:hAnsi="Calibri" w:cs="Calibri"/>
          <w:b/>
          <w:bCs/>
        </w:rPr>
      </w:pPr>
      <w:r>
        <w:rPr>
          <w:rFonts w:ascii="Calibri" w:hAnsi="Calibri" w:cs="Calibri"/>
          <w:b/>
          <w:bCs/>
        </w:rPr>
        <w:t>Landlord Governing Body response to self-assessment</w:t>
      </w:r>
      <w:r w:rsidR="003B4485">
        <w:rPr>
          <w:rFonts w:ascii="Calibri" w:hAnsi="Calibri" w:cs="Calibri"/>
          <w:b/>
          <w:bCs/>
        </w:rPr>
        <w:t xml:space="preserve"> and Annual Complaints performance and Service improvement report. </w:t>
      </w:r>
    </w:p>
    <w:p w14:paraId="304A25D4" w14:textId="33573BA8" w:rsidR="00733BBC" w:rsidRDefault="00733BBC" w:rsidP="00733BBC">
      <w:pPr>
        <w:ind w:left="360"/>
        <w:rPr>
          <w:rFonts w:ascii="Calibri" w:hAnsi="Calibri" w:cs="Calibri"/>
        </w:rPr>
      </w:pPr>
      <w:r>
        <w:rPr>
          <w:rFonts w:ascii="Calibri" w:hAnsi="Calibri" w:cs="Calibri"/>
        </w:rPr>
        <w:t xml:space="preserve">The </w:t>
      </w:r>
      <w:r w:rsidR="00ED002B">
        <w:rPr>
          <w:rFonts w:ascii="Calibri" w:hAnsi="Calibri" w:cs="Calibri"/>
        </w:rPr>
        <w:t>trustee’s</w:t>
      </w:r>
      <w:r>
        <w:rPr>
          <w:rFonts w:ascii="Calibri" w:hAnsi="Calibri" w:cs="Calibri"/>
        </w:rPr>
        <w:t xml:space="preserve"> board is confident that it has a robust system to management complaints and be responsive to people concerns that is in line with all statutory requirements. </w:t>
      </w:r>
    </w:p>
    <w:p w14:paraId="2C9A5555" w14:textId="77777777" w:rsidR="00733BBC" w:rsidRDefault="00733BBC" w:rsidP="00733BBC">
      <w:pPr>
        <w:tabs>
          <w:tab w:val="right" w:pos="9026"/>
        </w:tabs>
        <w:ind w:left="360"/>
        <w:rPr>
          <w:rFonts w:ascii="Calibri" w:hAnsi="Calibri" w:cs="Calibri"/>
        </w:rPr>
      </w:pPr>
    </w:p>
    <w:p w14:paraId="1DD9DFB8" w14:textId="77777777" w:rsidR="00733BBC" w:rsidRDefault="00733BBC" w:rsidP="00733BBC">
      <w:pPr>
        <w:tabs>
          <w:tab w:val="right" w:pos="9026"/>
        </w:tabs>
        <w:ind w:left="360"/>
        <w:rPr>
          <w:rFonts w:ascii="Calibri" w:hAnsi="Calibri" w:cs="Calibri"/>
        </w:rPr>
      </w:pPr>
    </w:p>
    <w:p w14:paraId="1A9A626A" w14:textId="77777777" w:rsidR="00B346FE" w:rsidRPr="008F68E4" w:rsidRDefault="00B346FE" w:rsidP="008F68E4">
      <w:pPr>
        <w:ind w:left="360"/>
        <w:rPr>
          <w:rFonts w:ascii="Calibri" w:hAnsi="Calibri" w:cs="Calibri"/>
        </w:rPr>
      </w:pPr>
    </w:p>
    <w:sectPr w:rsidR="00B346FE" w:rsidRPr="008F68E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1E25E" w14:textId="77777777" w:rsidR="00AD6623" w:rsidRDefault="00AD6623" w:rsidP="009C21E9">
      <w:pPr>
        <w:spacing w:after="0" w:line="240" w:lineRule="auto"/>
      </w:pPr>
      <w:r>
        <w:separator/>
      </w:r>
    </w:p>
  </w:endnote>
  <w:endnote w:type="continuationSeparator" w:id="0">
    <w:p w14:paraId="59AD6D62" w14:textId="77777777" w:rsidR="00AD6623" w:rsidRDefault="00AD6623" w:rsidP="009C2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1EC18" w14:textId="77777777" w:rsidR="00AD1DDD" w:rsidRDefault="00AD1D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AD169" w14:textId="77777777" w:rsidR="00AD1DDD" w:rsidRDefault="00AD1D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24131" w14:textId="77777777" w:rsidR="00AD1DDD" w:rsidRDefault="00AD1D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EED5F" w14:textId="77777777" w:rsidR="00AD6623" w:rsidRDefault="00AD6623" w:rsidP="009C21E9">
      <w:pPr>
        <w:spacing w:after="0" w:line="240" w:lineRule="auto"/>
      </w:pPr>
      <w:r>
        <w:separator/>
      </w:r>
    </w:p>
  </w:footnote>
  <w:footnote w:type="continuationSeparator" w:id="0">
    <w:p w14:paraId="54D0826B" w14:textId="77777777" w:rsidR="00AD6623" w:rsidRDefault="00AD6623" w:rsidP="009C21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F73EB" w14:textId="77777777" w:rsidR="00AD1DDD" w:rsidRDefault="00AD1D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83F68" w14:textId="485C7A35" w:rsidR="009C21E9" w:rsidRPr="00AD1DDD" w:rsidRDefault="00AD1DDD" w:rsidP="009C21E9">
    <w:pPr>
      <w:pStyle w:val="Header"/>
      <w:jc w:val="center"/>
      <w:rPr>
        <w:rFonts w:ascii="Calibri" w:hAnsi="Calibri" w:cs="Calibri"/>
        <w:sz w:val="40"/>
        <w:szCs w:val="40"/>
      </w:rPr>
    </w:pPr>
    <w:r w:rsidRPr="00AD1DDD">
      <w:rPr>
        <w:rFonts w:ascii="Calibri" w:hAnsi="Calibri" w:cs="Calibri"/>
        <w:noProof/>
        <w:sz w:val="40"/>
        <w:szCs w:val="40"/>
      </w:rPr>
      <w:drawing>
        <wp:anchor distT="0" distB="0" distL="114300" distR="114300" simplePos="0" relativeHeight="251658240" behindDoc="1" locked="0" layoutInCell="1" allowOverlap="1" wp14:anchorId="1EC92BDB" wp14:editId="5AE551C6">
          <wp:simplePos x="0" y="0"/>
          <wp:positionH relativeFrom="leftMargin">
            <wp:posOffset>485775</wp:posOffset>
          </wp:positionH>
          <wp:positionV relativeFrom="topMargin">
            <wp:posOffset>257175</wp:posOffset>
          </wp:positionV>
          <wp:extent cx="542925" cy="619736"/>
          <wp:effectExtent l="0" t="0" r="0" b="9525"/>
          <wp:wrapNone/>
          <wp:docPr id="33711264" name="Picture 1" descr="A logo with text overl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11264" name="Picture 1" descr="A logo with text overla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47358" cy="624796"/>
                  </a:xfrm>
                  <a:prstGeom prst="rect">
                    <a:avLst/>
                  </a:prstGeom>
                </pic:spPr>
              </pic:pic>
            </a:graphicData>
          </a:graphic>
          <wp14:sizeRelH relativeFrom="margin">
            <wp14:pctWidth>0</wp14:pctWidth>
          </wp14:sizeRelH>
          <wp14:sizeRelV relativeFrom="margin">
            <wp14:pctHeight>0</wp14:pctHeight>
          </wp14:sizeRelV>
        </wp:anchor>
      </w:drawing>
    </w:r>
    <w:r w:rsidR="009C21E9" w:rsidRPr="00AD1DDD">
      <w:rPr>
        <w:rFonts w:ascii="Calibri" w:hAnsi="Calibri" w:cs="Calibri"/>
        <w:sz w:val="40"/>
        <w:szCs w:val="40"/>
      </w:rPr>
      <w:t>Norwich Consolidated Charities</w:t>
    </w:r>
  </w:p>
  <w:p w14:paraId="1668FAB5" w14:textId="2E5D210D" w:rsidR="009C21E9" w:rsidRPr="00AD1DDD" w:rsidRDefault="009C21E9" w:rsidP="009C21E9">
    <w:pPr>
      <w:pStyle w:val="Header"/>
      <w:jc w:val="center"/>
      <w:rPr>
        <w:rFonts w:ascii="Calibri" w:hAnsi="Calibri" w:cs="Calibri"/>
        <w:sz w:val="40"/>
        <w:szCs w:val="40"/>
      </w:rPr>
    </w:pPr>
    <w:r w:rsidRPr="00AD1DDD">
      <w:rPr>
        <w:rFonts w:ascii="Calibri" w:hAnsi="Calibri" w:cs="Calibri"/>
        <w:sz w:val="40"/>
        <w:szCs w:val="40"/>
      </w:rPr>
      <w:t xml:space="preserve">Doughty’s </w:t>
    </w:r>
    <w:proofErr w:type="spellStart"/>
    <w:r w:rsidRPr="00AD1DDD">
      <w:rPr>
        <w:rFonts w:ascii="Calibri" w:hAnsi="Calibri" w:cs="Calibri"/>
        <w:sz w:val="40"/>
        <w:szCs w:val="40"/>
      </w:rPr>
      <w:t>Almshouse</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9952C" w14:textId="77777777" w:rsidR="00AD1DDD" w:rsidRDefault="00AD1D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E4671"/>
    <w:multiLevelType w:val="hybridMultilevel"/>
    <w:tmpl w:val="973A39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C825C5"/>
    <w:multiLevelType w:val="hybridMultilevel"/>
    <w:tmpl w:val="AA889D34"/>
    <w:lvl w:ilvl="0" w:tplc="31F4D4C8">
      <w:numFmt w:val="bullet"/>
      <w:lvlText w:val="•"/>
      <w:lvlJc w:val="left"/>
      <w:pPr>
        <w:ind w:left="1080"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24D249D5"/>
    <w:multiLevelType w:val="hybridMultilevel"/>
    <w:tmpl w:val="D54A1B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391104"/>
    <w:multiLevelType w:val="hybridMultilevel"/>
    <w:tmpl w:val="D83AD9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5264182D"/>
    <w:multiLevelType w:val="hybridMultilevel"/>
    <w:tmpl w:val="5518F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2934684">
    <w:abstractNumId w:val="4"/>
  </w:num>
  <w:num w:numId="2" w16cid:durableId="2031488128">
    <w:abstractNumId w:val="0"/>
  </w:num>
  <w:num w:numId="3" w16cid:durableId="908535100">
    <w:abstractNumId w:val="2"/>
  </w:num>
  <w:num w:numId="4" w16cid:durableId="586889240">
    <w:abstractNumId w:val="1"/>
  </w:num>
  <w:num w:numId="5" w16cid:durableId="3202352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1E9"/>
    <w:rsid w:val="00032D97"/>
    <w:rsid w:val="00050BCA"/>
    <w:rsid w:val="00110D34"/>
    <w:rsid w:val="001A47A5"/>
    <w:rsid w:val="00250091"/>
    <w:rsid w:val="00263D5E"/>
    <w:rsid w:val="002E7968"/>
    <w:rsid w:val="003515C0"/>
    <w:rsid w:val="00392669"/>
    <w:rsid w:val="003A46F0"/>
    <w:rsid w:val="003B4485"/>
    <w:rsid w:val="003D2824"/>
    <w:rsid w:val="00403BE7"/>
    <w:rsid w:val="00580657"/>
    <w:rsid w:val="005D2AAA"/>
    <w:rsid w:val="00647A05"/>
    <w:rsid w:val="0066598F"/>
    <w:rsid w:val="0067199D"/>
    <w:rsid w:val="006D5259"/>
    <w:rsid w:val="006F5DAE"/>
    <w:rsid w:val="00733BBC"/>
    <w:rsid w:val="007535A0"/>
    <w:rsid w:val="007E6F1A"/>
    <w:rsid w:val="008F68E4"/>
    <w:rsid w:val="00934FD6"/>
    <w:rsid w:val="00937BE1"/>
    <w:rsid w:val="0094310D"/>
    <w:rsid w:val="009C21E9"/>
    <w:rsid w:val="00AD1DDD"/>
    <w:rsid w:val="00AD6623"/>
    <w:rsid w:val="00B259FC"/>
    <w:rsid w:val="00B346FE"/>
    <w:rsid w:val="00B813BD"/>
    <w:rsid w:val="00C66974"/>
    <w:rsid w:val="00CF100F"/>
    <w:rsid w:val="00D464C8"/>
    <w:rsid w:val="00D74C83"/>
    <w:rsid w:val="00D93F00"/>
    <w:rsid w:val="00DC19FD"/>
    <w:rsid w:val="00DE0AD8"/>
    <w:rsid w:val="00DF4F71"/>
    <w:rsid w:val="00E4612B"/>
    <w:rsid w:val="00ED002B"/>
    <w:rsid w:val="00F536C7"/>
    <w:rsid w:val="00FE0255"/>
    <w:rsid w:val="00FF424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0196C"/>
  <w15:chartTrackingRefBased/>
  <w15:docId w15:val="{70011266-F052-49B0-80BA-C95003E27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21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C21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21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21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21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21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21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21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21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21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C21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21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21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21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21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21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21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21E9"/>
    <w:rPr>
      <w:rFonts w:eastAsiaTheme="majorEastAsia" w:cstheme="majorBidi"/>
      <w:color w:val="272727" w:themeColor="text1" w:themeTint="D8"/>
    </w:rPr>
  </w:style>
  <w:style w:type="paragraph" w:styleId="Title">
    <w:name w:val="Title"/>
    <w:basedOn w:val="Normal"/>
    <w:next w:val="Normal"/>
    <w:link w:val="TitleChar"/>
    <w:uiPriority w:val="10"/>
    <w:qFormat/>
    <w:rsid w:val="009C21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21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21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21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21E9"/>
    <w:pPr>
      <w:spacing w:before="160"/>
      <w:jc w:val="center"/>
    </w:pPr>
    <w:rPr>
      <w:i/>
      <w:iCs/>
      <w:color w:val="404040" w:themeColor="text1" w:themeTint="BF"/>
    </w:rPr>
  </w:style>
  <w:style w:type="character" w:customStyle="1" w:styleId="QuoteChar">
    <w:name w:val="Quote Char"/>
    <w:basedOn w:val="DefaultParagraphFont"/>
    <w:link w:val="Quote"/>
    <w:uiPriority w:val="29"/>
    <w:rsid w:val="009C21E9"/>
    <w:rPr>
      <w:i/>
      <w:iCs/>
      <w:color w:val="404040" w:themeColor="text1" w:themeTint="BF"/>
    </w:rPr>
  </w:style>
  <w:style w:type="paragraph" w:styleId="ListParagraph">
    <w:name w:val="List Paragraph"/>
    <w:basedOn w:val="Normal"/>
    <w:uiPriority w:val="34"/>
    <w:qFormat/>
    <w:rsid w:val="009C21E9"/>
    <w:pPr>
      <w:ind w:left="720"/>
      <w:contextualSpacing/>
    </w:pPr>
  </w:style>
  <w:style w:type="character" w:styleId="IntenseEmphasis">
    <w:name w:val="Intense Emphasis"/>
    <w:basedOn w:val="DefaultParagraphFont"/>
    <w:uiPriority w:val="21"/>
    <w:qFormat/>
    <w:rsid w:val="009C21E9"/>
    <w:rPr>
      <w:i/>
      <w:iCs/>
      <w:color w:val="0F4761" w:themeColor="accent1" w:themeShade="BF"/>
    </w:rPr>
  </w:style>
  <w:style w:type="paragraph" w:styleId="IntenseQuote">
    <w:name w:val="Intense Quote"/>
    <w:basedOn w:val="Normal"/>
    <w:next w:val="Normal"/>
    <w:link w:val="IntenseQuoteChar"/>
    <w:uiPriority w:val="30"/>
    <w:qFormat/>
    <w:rsid w:val="009C21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21E9"/>
    <w:rPr>
      <w:i/>
      <w:iCs/>
      <w:color w:val="0F4761" w:themeColor="accent1" w:themeShade="BF"/>
    </w:rPr>
  </w:style>
  <w:style w:type="character" w:styleId="IntenseReference">
    <w:name w:val="Intense Reference"/>
    <w:basedOn w:val="DefaultParagraphFont"/>
    <w:uiPriority w:val="32"/>
    <w:qFormat/>
    <w:rsid w:val="009C21E9"/>
    <w:rPr>
      <w:b/>
      <w:bCs/>
      <w:smallCaps/>
      <w:color w:val="0F4761" w:themeColor="accent1" w:themeShade="BF"/>
      <w:spacing w:val="5"/>
    </w:rPr>
  </w:style>
  <w:style w:type="paragraph" w:styleId="Header">
    <w:name w:val="header"/>
    <w:basedOn w:val="Normal"/>
    <w:link w:val="HeaderChar"/>
    <w:uiPriority w:val="99"/>
    <w:unhideWhenUsed/>
    <w:rsid w:val="009C21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21E9"/>
  </w:style>
  <w:style w:type="paragraph" w:styleId="Footer">
    <w:name w:val="footer"/>
    <w:basedOn w:val="Normal"/>
    <w:link w:val="FooterChar"/>
    <w:uiPriority w:val="99"/>
    <w:unhideWhenUsed/>
    <w:rsid w:val="009C21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21E9"/>
  </w:style>
  <w:style w:type="table" w:styleId="TableGrid">
    <w:name w:val="Table Grid"/>
    <w:basedOn w:val="TableNormal"/>
    <w:uiPriority w:val="39"/>
    <w:rsid w:val="002500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117989">
      <w:bodyDiv w:val="1"/>
      <w:marLeft w:val="0"/>
      <w:marRight w:val="0"/>
      <w:marTop w:val="0"/>
      <w:marBottom w:val="0"/>
      <w:divBdr>
        <w:top w:val="none" w:sz="0" w:space="0" w:color="auto"/>
        <w:left w:val="none" w:sz="0" w:space="0" w:color="auto"/>
        <w:bottom w:val="none" w:sz="0" w:space="0" w:color="auto"/>
        <w:right w:val="none" w:sz="0" w:space="0" w:color="auto"/>
      </w:divBdr>
    </w:div>
    <w:div w:id="642391938">
      <w:bodyDiv w:val="1"/>
      <w:marLeft w:val="0"/>
      <w:marRight w:val="0"/>
      <w:marTop w:val="0"/>
      <w:marBottom w:val="0"/>
      <w:divBdr>
        <w:top w:val="none" w:sz="0" w:space="0" w:color="auto"/>
        <w:left w:val="none" w:sz="0" w:space="0" w:color="auto"/>
        <w:bottom w:val="none" w:sz="0" w:space="0" w:color="auto"/>
        <w:right w:val="none" w:sz="0" w:space="0" w:color="auto"/>
      </w:divBdr>
    </w:div>
    <w:div w:id="1837920230">
      <w:bodyDiv w:val="1"/>
      <w:marLeft w:val="0"/>
      <w:marRight w:val="0"/>
      <w:marTop w:val="0"/>
      <w:marBottom w:val="0"/>
      <w:divBdr>
        <w:top w:val="none" w:sz="0" w:space="0" w:color="auto"/>
        <w:left w:val="none" w:sz="0" w:space="0" w:color="auto"/>
        <w:bottom w:val="none" w:sz="0" w:space="0" w:color="auto"/>
        <w:right w:val="none" w:sz="0" w:space="0" w:color="auto"/>
      </w:divBdr>
    </w:div>
    <w:div w:id="2063098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454</Words>
  <Characters>2591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Claudio Moreira</dc:creator>
  <cp:keywords/>
  <dc:description/>
  <cp:lastModifiedBy>Claudio Moreira</cp:lastModifiedBy>
  <cp:revision>10</cp:revision>
  <dcterms:created xsi:type="dcterms:W3CDTF">2025-01-30T15:26:00Z</dcterms:created>
  <dcterms:modified xsi:type="dcterms:W3CDTF">2026-05-12T09:10:00Z</dcterms:modified>
</cp:coreProperties>
</file>